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AC2F9C" w:rsidRPr="00AC2F9C">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№3 от 15.02.2023</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AC2F9C" w:rsidRPr="00AC2F9C">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№3 от 15.02.2023</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5C42F1" w:rsidRPr="006D0481" w:rsidRDefault="005C42F1"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5C42F1" w:rsidRPr="006D0481" w:rsidRDefault="005C42F1"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5C42F1" w:rsidRPr="006D0481" w:rsidRDefault="005C42F1"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4"/>
        <w:tblW w:w="9493" w:type="dxa"/>
        <w:tblLook w:val="04A0" w:firstRow="1" w:lastRow="0" w:firstColumn="1" w:lastColumn="0" w:noHBand="0" w:noVBand="1"/>
      </w:tblPr>
      <w:tblGrid>
        <w:gridCol w:w="1413"/>
        <w:gridCol w:w="8080"/>
      </w:tblGrid>
      <w:tr w:rsidR="005C42F1" w:rsidRPr="005C3DCA" w:rsidTr="004307E1">
        <w:tc>
          <w:tcPr>
            <w:tcW w:w="1413" w:type="dxa"/>
            <w:vAlign w:val="center"/>
          </w:tcPr>
          <w:p w:rsidR="005C42F1" w:rsidRPr="005C3DCA" w:rsidRDefault="005C42F1" w:rsidP="005C42F1">
            <w:pPr>
              <w:ind w:firstLine="0"/>
              <w:jc w:val="left"/>
              <w:rPr>
                <w:rFonts w:ascii="Times New Roman" w:hAnsi="Times New Roman" w:cs="Times New Roman"/>
                <w:color w:val="000000"/>
                <w:sz w:val="16"/>
                <w:szCs w:val="18"/>
              </w:rPr>
            </w:pPr>
          </w:p>
        </w:tc>
        <w:tc>
          <w:tcPr>
            <w:tcW w:w="8080" w:type="dxa"/>
            <w:vAlign w:val="center"/>
          </w:tcPr>
          <w:p w:rsidR="005C42F1" w:rsidRPr="005C3DCA" w:rsidRDefault="005C42F1" w:rsidP="004307E1">
            <w:pPr>
              <w:ind w:firstLine="0"/>
              <w:jc w:val="left"/>
              <w:rPr>
                <w:rFonts w:ascii="Times New Roman" w:hAnsi="Times New Roman" w:cs="Times New Roman"/>
                <w:color w:val="000000"/>
                <w:sz w:val="16"/>
                <w:szCs w:val="18"/>
              </w:rPr>
            </w:pPr>
          </w:p>
        </w:tc>
      </w:tr>
      <w:tr w:rsidR="005C42F1" w:rsidRPr="005C3DCA" w:rsidTr="004307E1">
        <w:tc>
          <w:tcPr>
            <w:tcW w:w="1413" w:type="dxa"/>
            <w:vAlign w:val="center"/>
          </w:tcPr>
          <w:p w:rsidR="005C42F1" w:rsidRPr="005C3DCA" w:rsidRDefault="005C42F1" w:rsidP="005C42F1">
            <w:pPr>
              <w:ind w:firstLine="0"/>
              <w:jc w:val="left"/>
              <w:rPr>
                <w:rFonts w:ascii="Times New Roman" w:hAnsi="Times New Roman" w:cs="Times New Roman"/>
                <w:color w:val="000000"/>
                <w:sz w:val="16"/>
                <w:szCs w:val="18"/>
              </w:rPr>
            </w:pPr>
          </w:p>
        </w:tc>
        <w:tc>
          <w:tcPr>
            <w:tcW w:w="8080" w:type="dxa"/>
            <w:vAlign w:val="center"/>
          </w:tcPr>
          <w:p w:rsidR="005C42F1" w:rsidRPr="005C3DCA" w:rsidRDefault="005C42F1" w:rsidP="004307E1">
            <w:pPr>
              <w:ind w:firstLine="0"/>
              <w:jc w:val="left"/>
              <w:rPr>
                <w:rFonts w:ascii="Times New Roman" w:hAnsi="Times New Roman" w:cs="Times New Roman"/>
                <w:color w:val="000000"/>
                <w:sz w:val="16"/>
                <w:szCs w:val="18"/>
              </w:rPr>
            </w:pP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4"/>
        <w:tblW w:w="9493" w:type="dxa"/>
        <w:tblLook w:val="04A0" w:firstRow="1" w:lastRow="0" w:firstColumn="1" w:lastColumn="0" w:noHBand="0" w:noVBand="1"/>
      </w:tblPr>
      <w:tblGrid>
        <w:gridCol w:w="1413"/>
        <w:gridCol w:w="8080"/>
      </w:tblGrid>
      <w:tr w:rsidR="00DC6738" w:rsidRPr="005C3DCA" w:rsidTr="004307E1">
        <w:tc>
          <w:tcPr>
            <w:tcW w:w="1413" w:type="dxa"/>
            <w:vAlign w:val="center"/>
          </w:tcPr>
          <w:p w:rsidR="00DC6738" w:rsidRPr="005C3DCA" w:rsidRDefault="00DC6738" w:rsidP="00DC6738">
            <w:pPr>
              <w:ind w:firstLine="0"/>
              <w:jc w:val="left"/>
              <w:rPr>
                <w:rFonts w:ascii="Times New Roman" w:hAnsi="Times New Roman" w:cs="Times New Roman"/>
                <w:color w:val="000000"/>
                <w:sz w:val="16"/>
                <w:szCs w:val="18"/>
              </w:rPr>
            </w:pPr>
            <w:r w:rsidRPr="00DC6738">
              <w:rPr>
                <w:rFonts w:ascii="Times New Roman" w:hAnsi="Times New Roman" w:cs="Times New Roman"/>
                <w:color w:val="000000"/>
                <w:sz w:val="16"/>
                <w:szCs w:val="18"/>
              </w:rPr>
              <w:t>13.02.2023</w:t>
            </w:r>
            <w:r>
              <w:rPr>
                <w:rFonts w:ascii="Times New Roman" w:hAnsi="Times New Roman" w:cs="Times New Roman"/>
                <w:color w:val="000000"/>
                <w:sz w:val="16"/>
                <w:szCs w:val="18"/>
              </w:rPr>
              <w:t xml:space="preserve"> </w:t>
            </w:r>
            <w:r w:rsidRPr="00DC6738">
              <w:rPr>
                <w:rFonts w:ascii="Times New Roman" w:hAnsi="Times New Roman" w:cs="Times New Roman"/>
                <w:color w:val="000000"/>
                <w:sz w:val="16"/>
                <w:szCs w:val="18"/>
              </w:rPr>
              <w:t>№8-ПГ</w:t>
            </w:r>
          </w:p>
        </w:tc>
        <w:tc>
          <w:tcPr>
            <w:tcW w:w="8080" w:type="dxa"/>
            <w:vAlign w:val="center"/>
          </w:tcPr>
          <w:p w:rsidR="00DC6738" w:rsidRPr="005C3DCA" w:rsidRDefault="00DC6738" w:rsidP="00DC6738">
            <w:pPr>
              <w:ind w:firstLine="0"/>
              <w:jc w:val="left"/>
              <w:rPr>
                <w:rFonts w:ascii="Times New Roman" w:hAnsi="Times New Roman" w:cs="Times New Roman"/>
                <w:color w:val="000000"/>
                <w:sz w:val="16"/>
                <w:szCs w:val="18"/>
              </w:rPr>
            </w:pPr>
            <w:r w:rsidRPr="00DC6738">
              <w:rPr>
                <w:rFonts w:ascii="Times New Roman" w:hAnsi="Times New Roman" w:cs="Times New Roman"/>
                <w:color w:val="000000"/>
                <w:sz w:val="16"/>
                <w:szCs w:val="18"/>
              </w:rPr>
              <w:t>Об утверждении положения об общественном совете по вопросам защиты детства при администрации Аршанского сельского поселения</w:t>
            </w:r>
          </w:p>
        </w:tc>
      </w:tr>
      <w:tr w:rsidR="00DC6738" w:rsidRPr="005C3DCA" w:rsidTr="004307E1">
        <w:tc>
          <w:tcPr>
            <w:tcW w:w="1413" w:type="dxa"/>
            <w:vAlign w:val="center"/>
          </w:tcPr>
          <w:p w:rsidR="00DC6738" w:rsidRPr="005C3DCA" w:rsidRDefault="00DC6738" w:rsidP="00DC6738">
            <w:pPr>
              <w:ind w:firstLine="29"/>
              <w:jc w:val="left"/>
              <w:rPr>
                <w:rFonts w:ascii="Times New Roman" w:hAnsi="Times New Roman" w:cs="Times New Roman"/>
                <w:color w:val="000000"/>
                <w:sz w:val="16"/>
                <w:szCs w:val="18"/>
              </w:rPr>
            </w:pPr>
            <w:bookmarkStart w:id="0" w:name="_GoBack"/>
            <w:bookmarkEnd w:id="0"/>
          </w:p>
        </w:tc>
        <w:tc>
          <w:tcPr>
            <w:tcW w:w="8080" w:type="dxa"/>
            <w:vAlign w:val="center"/>
          </w:tcPr>
          <w:p w:rsidR="00DC6738" w:rsidRPr="005C3DCA" w:rsidRDefault="00DC6738" w:rsidP="00DC6738">
            <w:pPr>
              <w:ind w:firstLine="29"/>
              <w:jc w:val="left"/>
              <w:rPr>
                <w:rFonts w:ascii="Times New Roman" w:hAnsi="Times New Roman" w:cs="Times New Roman"/>
                <w:color w:val="000000"/>
                <w:sz w:val="16"/>
                <w:szCs w:val="18"/>
              </w:rPr>
            </w:pPr>
          </w:p>
        </w:tc>
      </w:tr>
    </w:tbl>
    <w:p w:rsidR="005C42F1" w:rsidRDefault="005C42F1" w:rsidP="005C42F1">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bookmarkStart w:id="1" w:name="bookmark1"/>
      <w:r w:rsidRPr="00DC6738">
        <w:rPr>
          <w:rFonts w:ascii="Times New Roman" w:hAnsi="Times New Roman" w:cs="Times New Roman"/>
          <w:b/>
          <w:sz w:val="16"/>
          <w:szCs w:val="18"/>
        </w:rPr>
        <w:t>13.02.2023Г. №8-ПГ</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РОССИЙСКАЯ ФЕДЕРАЦИЯ</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ИРКУТСКАЯ ОБЛАСТЬ</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МУНИЦИПАЛЬНОЕ ОБРАЗОВАНИЕ</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«ТУЛУНСКИЙ РАЙОН»</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АДМИНИСТРАЦИЯ</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АРШАНСКОГО СЕЛЬСКОГО ПОСЕЛЕНИЯ</w:t>
      </w: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ПОСТАНОВЛЕНИЕ</w:t>
      </w:r>
    </w:p>
    <w:bookmarkEnd w:id="1"/>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ОБ УТВЕРЖДЕНИИ ПОЛОЖЕНИЯ ОБ ОБЩЕСТВЕННОМ СОВЕТЕ ПО ВОПРОСАМ ЗАЩИТЫ ДЕТСТВА ПРИ АДМИНИСТРАЦИИ АРШАНСКОГО СЕЛЬСКОГО ПОСЕЛЕНИЯ</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В целях осуществления мероприятий в сфере предупреждения безнадзорности, беспризорности, правонарушений и антиобщественных действий несовершеннолетних, организации работы с детьми и молодежью в поселении,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2014 года №212-ФЗ «Об основах общественного контроля в Российской Федерации», Федеральным законом от 23 июня 2016 года №182-ФЗ «Об основах системы профилактики правонарушений в Российской Федерации», руководствуясь Уставом Аршанского муниципального образования,</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b/>
          <w:sz w:val="16"/>
          <w:szCs w:val="18"/>
        </w:rPr>
      </w:pPr>
      <w:r w:rsidRPr="00DC6738">
        <w:rPr>
          <w:rFonts w:ascii="Times New Roman" w:hAnsi="Times New Roman" w:cs="Times New Roman"/>
          <w:b/>
          <w:sz w:val="16"/>
          <w:szCs w:val="18"/>
        </w:rPr>
        <w:t>ПОСТАНОВЛЯЮ:</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Утвердить Положение об общественном совете по вопросам защиты детства при администрации Аршанского сельского поселения (приложение №1).</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Утвердить состав общественного совета по вопросам защиты детства при администрации Аршанского сельского поселения (приложение №2).</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3. Признать утратившим силу постановление Администрации Аршанского сельского поселения от 22.10.2018 года №30-ПГ «О создании общественной </w:t>
      </w:r>
      <w:r w:rsidRPr="00DC6738">
        <w:rPr>
          <w:rFonts w:ascii="Times New Roman" w:hAnsi="Times New Roman" w:cs="Times New Roman"/>
          <w:bCs/>
          <w:sz w:val="16"/>
          <w:szCs w:val="18"/>
        </w:rPr>
        <w:t>комиссии</w:t>
      </w:r>
      <w:r w:rsidRPr="00DC6738">
        <w:rPr>
          <w:rFonts w:ascii="Times New Roman" w:hAnsi="Times New Roman" w:cs="Times New Roman"/>
          <w:sz w:val="16"/>
          <w:szCs w:val="18"/>
        </w:rPr>
        <w:t xml:space="preserve"> </w:t>
      </w:r>
      <w:r w:rsidRPr="00DC6738">
        <w:rPr>
          <w:rFonts w:ascii="Times New Roman" w:hAnsi="Times New Roman" w:cs="Times New Roman"/>
          <w:bCs/>
          <w:sz w:val="16"/>
          <w:szCs w:val="18"/>
        </w:rPr>
        <w:t>по</w:t>
      </w:r>
      <w:r w:rsidRPr="00DC6738">
        <w:rPr>
          <w:rFonts w:ascii="Times New Roman" w:hAnsi="Times New Roman" w:cs="Times New Roman"/>
          <w:sz w:val="16"/>
          <w:szCs w:val="18"/>
        </w:rPr>
        <w:t xml:space="preserve"> </w:t>
      </w:r>
      <w:r w:rsidRPr="00DC6738">
        <w:rPr>
          <w:rFonts w:ascii="Times New Roman" w:hAnsi="Times New Roman" w:cs="Times New Roman"/>
          <w:bCs/>
          <w:sz w:val="16"/>
          <w:szCs w:val="18"/>
        </w:rPr>
        <w:t>делам</w:t>
      </w:r>
      <w:r w:rsidRPr="00DC6738">
        <w:rPr>
          <w:rFonts w:ascii="Times New Roman" w:hAnsi="Times New Roman" w:cs="Times New Roman"/>
          <w:sz w:val="16"/>
          <w:szCs w:val="18"/>
        </w:rPr>
        <w:t xml:space="preserve"> </w:t>
      </w:r>
      <w:r w:rsidRPr="00DC6738">
        <w:rPr>
          <w:rFonts w:ascii="Times New Roman" w:hAnsi="Times New Roman" w:cs="Times New Roman"/>
          <w:bCs/>
          <w:sz w:val="16"/>
          <w:szCs w:val="18"/>
        </w:rPr>
        <w:t>несовершеннолетних</w:t>
      </w:r>
      <w:r w:rsidRPr="00DC6738">
        <w:rPr>
          <w:rFonts w:ascii="Times New Roman" w:hAnsi="Times New Roman" w:cs="Times New Roman"/>
          <w:sz w:val="16"/>
          <w:szCs w:val="18"/>
        </w:rPr>
        <w:t xml:space="preserve"> и защите их прав на территории Аршанского сельского поселения».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4. </w:t>
      </w:r>
      <w:r w:rsidRPr="00DC6738">
        <w:rPr>
          <w:rFonts w:ascii="Times New Roman" w:hAnsi="Times New Roman" w:cs="Times New Roman"/>
          <w:bCs/>
          <w:sz w:val="16"/>
          <w:szCs w:val="18"/>
        </w:rPr>
        <w:t>Настоящее постановление вступает в силу после дня его официального опубликования.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lastRenderedPageBreak/>
        <w:t>5.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Глава Аршанского</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сельского поселения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Н.Л.Судникович</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Приложение №1</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к постановлению администрации</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Аршанского сельского поселения</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от «13» февраля 2022 года №8-ПГ</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jc w:val="center"/>
        <w:rPr>
          <w:rFonts w:ascii="Times New Roman" w:hAnsi="Times New Roman" w:cs="Times New Roman"/>
          <w:b/>
          <w:bCs/>
          <w:i/>
          <w:sz w:val="16"/>
          <w:szCs w:val="18"/>
        </w:rPr>
      </w:pPr>
      <w:r w:rsidRPr="00DC6738">
        <w:rPr>
          <w:rFonts w:ascii="Times New Roman" w:hAnsi="Times New Roman" w:cs="Times New Roman"/>
          <w:b/>
          <w:bCs/>
          <w:sz w:val="16"/>
          <w:szCs w:val="18"/>
        </w:rPr>
        <w:t>ПОЛОЖЕНИЕ ОБ ОБЩЕСТВЕННОМ СОВЕТЕ ПО ВОПРОСАМ ЗАЩИТЫ ДЕТСТВА ПРИ АДМИНИСТРАЦИИ АРШАНСКОГО СЕЛЬСКОГО ПОСЕЛЕНИЯ</w:t>
      </w:r>
    </w:p>
    <w:p w:rsidR="00DC6738" w:rsidRPr="00DC6738" w:rsidRDefault="00DC6738" w:rsidP="00DC6738">
      <w:pPr>
        <w:widowControl/>
        <w:autoSpaceDE/>
        <w:autoSpaceDN/>
        <w:adjustRightInd/>
        <w:ind w:firstLine="0"/>
        <w:jc w:val="center"/>
        <w:rPr>
          <w:rFonts w:ascii="Times New Roman" w:hAnsi="Times New Roman" w:cs="Times New Roman"/>
          <w:b/>
          <w:bCs/>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I. ОБЩИЕ ПОЛОЖЕНИЯ</w:t>
      </w:r>
    </w:p>
    <w:p w:rsidR="00DC6738" w:rsidRPr="00DC6738" w:rsidRDefault="00DC6738" w:rsidP="00DC6738">
      <w:pPr>
        <w:widowControl/>
        <w:autoSpaceDE/>
        <w:autoSpaceDN/>
        <w:adjustRightInd/>
        <w:ind w:firstLine="0"/>
        <w:rPr>
          <w:rFonts w:ascii="Times New Roman" w:hAnsi="Times New Roman" w:cs="Times New Roman"/>
          <w:b/>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Общественный совет по вопросам защиты детства при администрации Аршанского сельского поселения (далее – Совет), является постоянно действующим совещательным органом при администрации Аршанского сельского поселения</w:t>
      </w:r>
      <w:r w:rsidRPr="00DC6738">
        <w:rPr>
          <w:rFonts w:ascii="Times New Roman" w:hAnsi="Times New Roman" w:cs="Times New Roman"/>
          <w:i/>
          <w:sz w:val="16"/>
          <w:szCs w:val="18"/>
        </w:rPr>
        <w:t xml:space="preserve"> </w:t>
      </w:r>
      <w:r w:rsidRPr="00DC6738">
        <w:rPr>
          <w:rFonts w:ascii="Times New Roman" w:hAnsi="Times New Roman" w:cs="Times New Roman"/>
          <w:sz w:val="16"/>
          <w:szCs w:val="18"/>
        </w:rPr>
        <w:t>(далее - поселение), образуемым в целях оказания содействия органам и учреждениям системы профилактики безнадзорности и правонарушений несовершеннолетних (далее – субъекты системы профилактики), осуществляющим деятельность на территории Тулунского района Иркутской области (далее – Тулунский район), в принятии ими мер, направленных на предупреждение безнадзорности, беспризорности, правонарушений и антиобщественных действий несовершеннолетних, защиту их прав и законных интересов несовершеннолетних, организации работы с детьми и молодежью в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Совет в своей деятельности руководствуется Конституцией Российской Федерации, федеральными законами от 6 октября 2003 года №131-ФЗ «Об общих принципах организации местного самоуправления в Российской Федерации», Федеральным законом от 21 июля 2014 года №212-ФЗ «Об основах общественного контроля в Российской Федерации», от 23 июня 2016 года №182-ФЗ «Об основах системы профилактики правонарушений в Российской Федерации», от 24 июня 1999 года №120-ФЗ «Об основах системы профилактики безнадзорности и правонарушений несовершеннолетних», Федеральным законом от 27 июля 2006 года №152-ФЗ «О персональных данных» (далее – ФЗ о персональных данных), Законом Иркутской области от 12 ноября 2007 года №100-оз «О порядке создания и осуществления деятельности комиссий по делам несовершеннолетних и защите их прав в Иркутской области», Законом Иркутской области от 5 марта 2010 года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Закон Иркутской области №7-ОЗ), иными федеральными и областными нормативными правовыми актами, а также настоящим Положением.</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Деятельность Совета основывается на принципах законности, демократизма, открытости, свободного обсуждения и коллективного решения совместных вопросов, с соблюдением конфиденциальности полученной в процессе деятельности информации о несовершеннолетних, родителях (законных представителях) несовершеннолетних.</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II. ЗАДАЧА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Основной задачей Совета является оказание содействия субъектам системы профилактики в принятии ими мер, направленных на предупреждение безнадзорности, правонарушений и антиобщественных действий несовершеннолетних, защиту их прав и законных интересов в поселении, организации работы с детьми и молодежью в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lang w:val="en-US"/>
        </w:rPr>
        <w:t>III</w:t>
      </w:r>
      <w:r w:rsidRPr="00DC6738">
        <w:rPr>
          <w:rFonts w:ascii="Times New Roman" w:hAnsi="Times New Roman" w:cs="Times New Roman"/>
          <w:sz w:val="16"/>
          <w:szCs w:val="18"/>
        </w:rPr>
        <w:t>. ПРАВА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Совет для выполнения основной задачи вправе:</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принимать решения по направлениям своей деятельности и осуществлять контроль за реализацией решений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осуществлять взаимодействие с комиссией по делам несовершеннолетних и защите их прав муниципального образования «Тулунский район» (далее – Муниципальная комиссия), иными субъектами системы профилактики, Администрацией Тулунского муниципального района и Думой Тулунского муниципального района, правоохранительными органами, а также общественными и иными объединениями и организациями;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участвовать в заседании Муниципальной комиссии, выносить на обсуждение вопрос о ненадлежащем исполнении родителями (законными представителями) несовершеннолетних, проживающих в поселении, своих родительских обязанностей, о совершении несовершеннолетними антиобщественных действий, повторных правонарушений, общественно опасных деяний, преступлений, в целях принятия Муниципальной комиссией к ним мер, предусмотренных федеральным и областным законодательством;</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направлять обращения в Муниципальную комиссию, иные субъекты системы профилактики о необходимости оказания помощи семьям, имеющим несовершеннолетних детей и находящимся в социально опасном положении (далее – СОП) или в трудной жизненной ситуации (далее – ТЖС), проживающим в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запрашивать необходимую для осуществления своих полномочий информацию из органов местного самоуправления, организаций;</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осуществлять незамедлительное (с использованием любых средств связи и доставки) информирование Муниципальной комиссии, иных субъектов системы профилактики о фактах нарушения прав и законных интересов несовершеннолетних, а также о выявлении в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безнадзорных, беспризорных несовершеннолетних, а также занимающихся бродяжничеством и (или) попрошайничеством;</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семей, имеющих признаки нахождения в СОП или ТЖС;</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семей, несовершеннолетние члены которых нуждаются в социальных услугах;</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фактов жестокого обращения с несовершеннолетними;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фактов реализации несовершеннолетним алкогольной и спиртосодержащей продукции, наркотических средств, психотропных и (или) одурманивающих веществ;</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несовершеннолетних, уклоняющихся от учебы или работы;</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несовершеннолетних, самовольно оставивших семью;</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несовершеннолетних в местах, указанных в статье 2 Закона Иркутской области №7-ОЗ;</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7) вносить предложения в Муниципальную комиссию,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(законных представителей), семей, находящихся в СОП, об оказании им социальных услуг и помощи в установленном законодательством порядке, осуществлении лечебно-профилактических, реабилитационных, иных мер в отношении них в случаях, предусмотренных федеральным и областным законодательством;</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8) принимать участие в рабочих совещаниях, иных мероприятиях, проводимых поселении и </w:t>
      </w:r>
      <w:proofErr w:type="spellStart"/>
      <w:r w:rsidRPr="00DC6738">
        <w:rPr>
          <w:rFonts w:ascii="Times New Roman" w:hAnsi="Times New Roman" w:cs="Times New Roman"/>
          <w:sz w:val="16"/>
          <w:szCs w:val="18"/>
        </w:rPr>
        <w:t>Тулунском</w:t>
      </w:r>
      <w:proofErr w:type="spellEnd"/>
      <w:r w:rsidRPr="00DC6738">
        <w:rPr>
          <w:rFonts w:ascii="Times New Roman" w:hAnsi="Times New Roman" w:cs="Times New Roman"/>
          <w:sz w:val="16"/>
          <w:szCs w:val="18"/>
        </w:rPr>
        <w:t xml:space="preserve"> районе;</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9) проводить информационно-просветительскую, профилактическую, консультационную работу (беседы, встречи и т.д.) с несовершеннолетними, родителями (законными представителями) несовершеннолетних и иными лицами, в том числе в целях установления обстоятельств, способствовавших возникновению фактов, указанных в подпункте 6 пункта 6 настоящего Положения;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10) участвовать в организации и проведении в поселении профилактических мероприятий с детьми и молодежью;</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11) посещать по месту жительства семьи, имеющие признаки нахождения в СОП или ТЖС, семьи, находящиеся в социально опасном положении, а также несовершеннолетних, состоящих на различных видах профилактического учета, по месту их жительства с согласия их родителей (законных представителей);</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12) рассматривать на заседании Совета следующие вопросы:</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о безнадзорности, правонарушениях и антиобщественных действиях несовершеннолетних в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об организации в поселении занятости несовершеннолетних, их досуга, отдыха, в том числе в каникулярный период, о дополнительном образовании детей, привлечении их к общественно полезной деятельности;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о состоянии </w:t>
      </w:r>
      <w:proofErr w:type="spellStart"/>
      <w:r w:rsidRPr="00DC6738">
        <w:rPr>
          <w:rFonts w:ascii="Times New Roman" w:hAnsi="Times New Roman" w:cs="Times New Roman"/>
          <w:sz w:val="16"/>
          <w:szCs w:val="18"/>
        </w:rPr>
        <w:t>воспитательно</w:t>
      </w:r>
      <w:proofErr w:type="spellEnd"/>
      <w:r w:rsidRPr="00DC6738">
        <w:rPr>
          <w:rFonts w:ascii="Times New Roman" w:hAnsi="Times New Roman" w:cs="Times New Roman"/>
          <w:sz w:val="16"/>
          <w:szCs w:val="18"/>
        </w:rPr>
        <w:t>-профилактической работы с несовершеннолетними в образовательных, культурно-просветительских, спортивных организациях независимо от их организационно-правовых форм и форм собственности;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о раннем выявлении семей, имеющих признаки нахождения в СОП или ТЖС, семей, несовершеннолетние члены которых нуждаются в социальных услугах;</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о результатах посещения семей, имеющих признаки нахождения в СОП или ТЖС, семей, находящихся в социально опасном положении, а также несовершеннолетних, состоящих на различных видах профилактического учета;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иные вопросы, связанные с реализацией основной задачи, указанной в пункте 5 настоящего Положения.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7. Выявление фактов и обстоятельств, указанных в подпункте 6 пункта 6 настоящего Положения, вправе осуществляться Советом в ходе исполнения основной деятельности, участия в рейдовых или профилактических мероприятиях, акциях и других мероприятиях, проводимых в поселении, а также при получении сообщений либо информации от физических и (или) юридических лиц, из средств массовой информации, в том числе размещенной в информационно-телекоммуникационной сети «Интернет», из иных общедоступных источников.</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8. Совет не вправе выносить решения о привлечении граждан к какому-либо виду ответственности.</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lang w:val="en-US"/>
        </w:rPr>
        <w:t>IV</w:t>
      </w:r>
      <w:r w:rsidRPr="00DC6738">
        <w:rPr>
          <w:rFonts w:ascii="Times New Roman" w:hAnsi="Times New Roman" w:cs="Times New Roman"/>
          <w:sz w:val="16"/>
          <w:szCs w:val="18"/>
        </w:rPr>
        <w:t>. ФОРМИРОВАНИЕ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9. Состав членов Совета формируется из числа представителей администрации поселения, образовательной организации (директор, завуч, социальный педагог), социальной службы (социальный участковый, сотрудник учреждения социального обслуживания или социальной защиты населения), медицинской организации (фельдшер, педиатр), организаций культуры, по делам молодежи, спорта, по согласованию сотрудников органов внутренних дел (инспектор подразделения по делам несовершеннолетних, участковый уполномоченный полиции), общественных объединений и организаций, деятельность которых направлена на профилактику безнадзорности и правонарушений несовершеннолетних, семейного неблагополучия, а также депутатов представительных органов местного самоуправления, представителей трудовых коллективов, волонтерских организаций, военнослужащих и иных лиц, соответствующих требованиям, предусмотренным пунктом 12 настоящего Положения.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10. В состав Совета входят председатель, заместитель председателя, секретарь и члены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11. Количество членов Совета не может быть менее чем пять человек. </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12. Председателем, заместителем председателя, секретарем и членом Совета может быть гражданин Российской Федерации, достигший возраста 21 года, способный своими деловыми и моральными качествами выполнять возложенные на него обязанности, имеющий необходимый жизненный опыт или опыт работы с несовершеннолетними.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13. Председатель Совета, заместитель председателя Совета, секретарь и члены Совета осуществляют свои полномочия на добровольной безвозмездной основе.</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14. Председатель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осуществляет руководство деятельностью Совета, председательствует на его заседании и организует работу Совета согласно утвержденному плану работы;</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назначает дату заседания Совета, участвует в его заседании, утверждает повестку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вносит предложение по рассмотрению на заседании Совета дополнительных вопросов, не предусмотренных повесткой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участвует в обсуждении решений, принимаемых Советом по рассматриваемым вопросам, голосует при их принятии и имеет право решающего голоса при голосовании на заседании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осуществляет контроль за организацией работы Совета, подписывает протокол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дает заместителю председателя Совета, секретарю и членам Совета поручения по вопросам, в рамках реализации основной задачи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7) представляет Совет в органах местного самоуправления, Муниципальной комиссии, иных организациях;</w:t>
      </w:r>
    </w:p>
    <w:p w:rsidR="00DC6738" w:rsidRPr="00DC6738" w:rsidRDefault="00DC6738" w:rsidP="00DC6738">
      <w:pPr>
        <w:widowControl/>
        <w:autoSpaceDE/>
        <w:autoSpaceDN/>
        <w:adjustRightInd/>
        <w:ind w:firstLine="0"/>
        <w:rPr>
          <w:rFonts w:ascii="Times New Roman" w:hAnsi="Times New Roman" w:cs="Times New Roman"/>
          <w:i/>
          <w:sz w:val="16"/>
          <w:szCs w:val="18"/>
        </w:rPr>
      </w:pPr>
      <w:r w:rsidRPr="00DC6738">
        <w:rPr>
          <w:rFonts w:ascii="Times New Roman" w:hAnsi="Times New Roman" w:cs="Times New Roman"/>
          <w:sz w:val="16"/>
          <w:szCs w:val="18"/>
        </w:rPr>
        <w:t>8) вносит предложения по совершенствованию деятельности Совета, а также предложения в Муниципальную комиссию, иным субъектам системы профилактики по совершенствованию их работы;</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9) по приглашению Муниципальной комиссии принимает участие в ее заседании; </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10) осуществляет иные полномочия в рамках реализации основной задачи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16. Заместитель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выполняет поручения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исполняет обязанности председателя Совета в его отсутствие;</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направляет председателю Совета предложения по рассмотрению вопросов на заседании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участвует в заседании Совета, вносит предложение по рассмотрению на его заседании дополнительных вопросов, не предусмотренных повесткой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участвует в обсуждении решений, принимаемых Советом по рассматриваемым вопросам, и голосует при их принятии;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вносит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7) осуществляет иные полномочия в рамках реализации основной задачи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17. Секретарь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выполняет поручения председателя, а в его отсутствие – заместителя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участвует в заседании Совета и его подготовке;</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формирует план работы Совета и направляет его на утверждение председателю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оповещает заместителя председателя и членов Совета о дате, времени и месте проведения заседания Совета, направляет им повестку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ведет делопроизводство Совета, обеспечивает подготовку и направление протоколов заседаний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участвует в обсуждении решений, принимаемых Советом по рассматриваемым вопросам и голосует при их принятии;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7) обеспечивает во взаимодействии с членами Совета подготовку информационных материалов к заседанию Совета по вопросам, включенным в повестку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8) решает иные вопросы по поручению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18. Члены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выполняют поручения председателя, а в его отсутствие – заместителя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вносят предложения по формированию плана работы, повестки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участвуют в обсуждении решений, принимаемых Советом по рассматриваемым вопросам, и голосуют при их принятии;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участвуют в организации и проведении мероприятий, проводимых Советом, а также подготовке информационных материалов для рассмотрения на заседании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вносят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6) осуществляют иные полномочия в рамках реализации основной задачи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lang w:val="en-US"/>
        </w:rPr>
        <w:t>V</w:t>
      </w:r>
      <w:r w:rsidRPr="00DC6738">
        <w:rPr>
          <w:rFonts w:ascii="Times New Roman" w:hAnsi="Times New Roman" w:cs="Times New Roman"/>
          <w:sz w:val="16"/>
          <w:szCs w:val="18"/>
        </w:rPr>
        <w:t>. ОРГАНИЗАЦИЯ ДЕЯТЕЛЬНОСТИ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19. Основной формой деятельности Совета являются заседания.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20. Заседания Совета проводятся по мере необходимости, но не реже одного раза в квартал. По решению председателя Совета может быть проведено внеочередное заседание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21. Заседания Совета считаются правомочными, если на них присутствует более половины его членов. Члены Совета обязаны принимать личное участие в заседаниях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22. На заседании Совета председательствует его председатель либо, по его поручению, заместитель председателя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23. Решения Совета принимаются большинством голосов присутствующих на заседании членов Совета. При равном количестве голосов председательствующий на заседании имеет право решающего голоса.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24. Решения Совета носят рекомендательный характер и оформляются протоколом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25. Протокол заседания Совета подписывается председательствующим на заседании Совета и секретарем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26. В протоколе заседания Совета указываются:</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1) наименование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 дата, время и место проведения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 сведения о присутствующих и отсутствующих членах Совета, а также иных лицах, участвующих в заседании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4) вопросы повестки заседания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5) решения, принятые по каждому рассматриваемому вопросу.</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27. Протокол заседания Совета по решению его председателя может направляться в Муниципальную комиссию, а также иным субъектам системы профилактики и лицам, присутствующим на заседании Совета.</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 xml:space="preserve">28. По итогам года составляется отчет о работе Совета, который подписывается председателем Совета. Отчет о работе Совета может направляться в Муниципальную комиссию согласно соответствующему запросу. </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29. Информация о деятельности Совета по решению его председателя может размещаться в информационно-телекоммуникационной сети «Интернет» на сайте администрации поселения с соблюдением требований ФЗ о персональных данных.</w:t>
      </w:r>
    </w:p>
    <w:p w:rsidR="00DC6738" w:rsidRPr="00DC6738" w:rsidRDefault="00DC6738" w:rsidP="00DC6738">
      <w:pPr>
        <w:widowControl/>
        <w:autoSpaceDE/>
        <w:autoSpaceDN/>
        <w:adjustRightInd/>
        <w:ind w:firstLine="0"/>
        <w:rPr>
          <w:rFonts w:ascii="Times New Roman" w:hAnsi="Times New Roman" w:cs="Times New Roman"/>
          <w:sz w:val="16"/>
          <w:szCs w:val="18"/>
        </w:rPr>
      </w:pPr>
      <w:r w:rsidRPr="00DC6738">
        <w:rPr>
          <w:rFonts w:ascii="Times New Roman" w:hAnsi="Times New Roman" w:cs="Times New Roman"/>
          <w:sz w:val="16"/>
          <w:szCs w:val="18"/>
        </w:rPr>
        <w:t>30. Организационно-техническое обеспечение деятельности Совета осуществляет администрация поселения.</w:t>
      </w:r>
    </w:p>
    <w:p w:rsidR="00DC6738" w:rsidRPr="00DC6738" w:rsidRDefault="00DC6738" w:rsidP="00DC6738">
      <w:pPr>
        <w:widowControl/>
        <w:autoSpaceDE/>
        <w:autoSpaceDN/>
        <w:adjustRightInd/>
        <w:ind w:firstLine="0"/>
        <w:rPr>
          <w:rFonts w:ascii="Times New Roman" w:hAnsi="Times New Roman" w:cs="Times New Roman"/>
          <w:sz w:val="16"/>
          <w:szCs w:val="18"/>
        </w:rPr>
      </w:pP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Приложение №2</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к постановлению администрации</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Аршанского сельского поселения</w:t>
      </w:r>
    </w:p>
    <w:p w:rsidR="00DC6738" w:rsidRPr="00DC6738" w:rsidRDefault="00DC6738" w:rsidP="00DC6738">
      <w:pPr>
        <w:widowControl/>
        <w:autoSpaceDE/>
        <w:autoSpaceDN/>
        <w:adjustRightInd/>
        <w:ind w:firstLine="0"/>
        <w:jc w:val="right"/>
        <w:rPr>
          <w:rFonts w:ascii="Times New Roman" w:hAnsi="Times New Roman" w:cs="Times New Roman"/>
          <w:sz w:val="16"/>
          <w:szCs w:val="18"/>
        </w:rPr>
      </w:pPr>
      <w:r w:rsidRPr="00DC6738">
        <w:rPr>
          <w:rFonts w:ascii="Times New Roman" w:hAnsi="Times New Roman" w:cs="Times New Roman"/>
          <w:sz w:val="16"/>
          <w:szCs w:val="18"/>
        </w:rPr>
        <w:t>от «13» февраля 2022 года №8-ПГ</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jc w:val="center"/>
        <w:rPr>
          <w:rFonts w:ascii="Times New Roman" w:hAnsi="Times New Roman" w:cs="Times New Roman"/>
          <w:b/>
          <w:sz w:val="16"/>
          <w:szCs w:val="18"/>
        </w:rPr>
      </w:pPr>
      <w:r w:rsidRPr="00DC6738">
        <w:rPr>
          <w:rFonts w:ascii="Times New Roman" w:hAnsi="Times New Roman" w:cs="Times New Roman"/>
          <w:b/>
          <w:sz w:val="16"/>
          <w:szCs w:val="18"/>
        </w:rPr>
        <w:t>СОСТАВ</w:t>
      </w:r>
    </w:p>
    <w:p w:rsidR="00DC6738" w:rsidRPr="00DC6738" w:rsidRDefault="00DC6738" w:rsidP="00DC6738">
      <w:pPr>
        <w:widowControl/>
        <w:autoSpaceDE/>
        <w:autoSpaceDN/>
        <w:adjustRightInd/>
        <w:ind w:firstLine="0"/>
        <w:jc w:val="center"/>
        <w:rPr>
          <w:rFonts w:ascii="Times New Roman" w:hAnsi="Times New Roman" w:cs="Times New Roman"/>
          <w:b/>
          <w:bCs/>
          <w:sz w:val="16"/>
          <w:szCs w:val="18"/>
        </w:rPr>
      </w:pPr>
      <w:r w:rsidRPr="00DC6738">
        <w:rPr>
          <w:rFonts w:ascii="Times New Roman" w:hAnsi="Times New Roman" w:cs="Times New Roman"/>
          <w:b/>
          <w:bCs/>
          <w:sz w:val="16"/>
          <w:szCs w:val="18"/>
        </w:rPr>
        <w:t>ОБЩЕСТВЕННОГО СОВЕТА ПО ВОПРОСАМ ЗАЩИТЫ ДЕТСТВА ПРИ АДМИНИСТРАЦИИ АРШАНСКОГО СЕЛЬСКОГО ПОСЕЛЕНИЯ</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237"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Глава Аршанского сельского поселения, председатель общественного совета по вопросам защиты детства при администрации Аршанского сельского поселения (далее - Совет);</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237"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наименование должности, заместитель председателя Совета;</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237"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наименование должности (представитель администрации поселения), секретарь Совета.</w:t>
            </w:r>
          </w:p>
        </w:tc>
      </w:tr>
    </w:tbl>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xml:space="preserve">Члены Совета (распределить по алфавиту): </w:t>
      </w:r>
    </w:p>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095"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должность (представитель органа внутренних дел);</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095"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должность (представитель сферы образования);</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095"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должность (представитель сферы здравоохранения);</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095"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должность (представитель сферы культуры, молодежной политики, спорта);</w:t>
            </w:r>
          </w:p>
        </w:tc>
      </w:tr>
      <w:tr w:rsidR="00DC6738" w:rsidRPr="00DC6738" w:rsidTr="00DC6738">
        <w:tc>
          <w:tcPr>
            <w:tcW w:w="3794"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ФИО</w:t>
            </w:r>
          </w:p>
        </w:tc>
        <w:tc>
          <w:tcPr>
            <w:tcW w:w="6095" w:type="dxa"/>
            <w:shd w:val="clear" w:color="auto" w:fill="auto"/>
          </w:tcPr>
          <w:p w:rsidR="00DC6738" w:rsidRPr="00DC6738" w:rsidRDefault="00DC6738" w:rsidP="00DC6738">
            <w:pPr>
              <w:widowControl/>
              <w:autoSpaceDE/>
              <w:autoSpaceDN/>
              <w:adjustRightInd/>
              <w:ind w:firstLine="0"/>
              <w:jc w:val="center"/>
              <w:rPr>
                <w:rFonts w:ascii="Times New Roman" w:hAnsi="Times New Roman" w:cs="Times New Roman"/>
                <w:sz w:val="16"/>
                <w:szCs w:val="18"/>
              </w:rPr>
            </w:pPr>
            <w:r w:rsidRPr="00DC6738">
              <w:rPr>
                <w:rFonts w:ascii="Times New Roman" w:hAnsi="Times New Roman" w:cs="Times New Roman"/>
                <w:sz w:val="16"/>
                <w:szCs w:val="18"/>
              </w:rPr>
              <w:t>- депутат Думы Аршанского сельского поселения;</w:t>
            </w:r>
          </w:p>
        </w:tc>
      </w:tr>
    </w:tbl>
    <w:p w:rsidR="00DC6738" w:rsidRPr="00DC6738" w:rsidRDefault="00DC6738" w:rsidP="00DC6738">
      <w:pPr>
        <w:widowControl/>
        <w:autoSpaceDE/>
        <w:autoSpaceDN/>
        <w:adjustRightInd/>
        <w:ind w:firstLine="0"/>
        <w:jc w:val="center"/>
        <w:rPr>
          <w:rFonts w:ascii="Times New Roman" w:hAnsi="Times New Roman" w:cs="Times New Roman"/>
          <w:sz w:val="16"/>
          <w:szCs w:val="18"/>
        </w:rPr>
      </w:pPr>
    </w:p>
    <w:p w:rsidR="00DC6738" w:rsidRDefault="00DC6738" w:rsidP="005C42F1">
      <w:pPr>
        <w:widowControl/>
        <w:autoSpaceDE/>
        <w:autoSpaceDN/>
        <w:adjustRightInd/>
        <w:ind w:firstLine="0"/>
        <w:jc w:val="center"/>
        <w:rPr>
          <w:rFonts w:ascii="Times New Roman" w:hAnsi="Times New Roman" w:cs="Times New Roman"/>
          <w:sz w:val="16"/>
          <w:szCs w:val="18"/>
        </w:rPr>
      </w:pPr>
    </w:p>
    <w:p w:rsidR="00DC6738" w:rsidRDefault="00DC6738" w:rsidP="005C42F1">
      <w:pPr>
        <w:widowControl/>
        <w:autoSpaceDE/>
        <w:autoSpaceDN/>
        <w:adjustRightInd/>
        <w:ind w:firstLine="0"/>
        <w:jc w:val="center"/>
        <w:rPr>
          <w:rFonts w:ascii="Times New Roman" w:hAnsi="Times New Roman" w:cs="Times New Roman"/>
          <w:sz w:val="16"/>
          <w:szCs w:val="18"/>
        </w:rPr>
      </w:pPr>
    </w:p>
    <w:p w:rsidR="00DC6738" w:rsidRPr="005C3DCA" w:rsidRDefault="00DC6738" w:rsidP="005C42F1">
      <w:pPr>
        <w:widowControl/>
        <w:autoSpaceDE/>
        <w:autoSpaceDN/>
        <w:adjustRightInd/>
        <w:ind w:firstLine="0"/>
        <w:jc w:val="center"/>
        <w:rPr>
          <w:rFonts w:ascii="Times New Roman" w:hAnsi="Times New Roman" w:cs="Times New Roman"/>
          <w:sz w:val="16"/>
          <w:szCs w:val="18"/>
        </w:rPr>
      </w:pPr>
    </w:p>
    <w:sectPr w:rsidR="00DC6738" w:rsidRPr="005C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5C3DCA"/>
    <w:rsid w:val="005C42F1"/>
    <w:rsid w:val="00622FA3"/>
    <w:rsid w:val="00AC2F9C"/>
    <w:rsid w:val="00C52A4D"/>
    <w:rsid w:val="00DC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7599"/>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4">
    <w:name w:val="Table Grid"/>
    <w:basedOn w:val="a1"/>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2744</Words>
  <Characters>15646</Characters>
  <Application>Microsoft Office Word</Application>
  <DocSecurity>0</DocSecurity>
  <Lines>130</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2025-03-24T03:02:00Z</dcterms:created>
  <dcterms:modified xsi:type="dcterms:W3CDTF">2025-03-24T03:08:00Z</dcterms:modified>
</cp:coreProperties>
</file>